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6E8B" w:rsidRPr="0085772A" w:rsidRDefault="005F707E" w:rsidP="00146E8B">
      <w:pPr>
        <w:ind w:left="567" w:right="567"/>
        <w:rPr>
          <w:rFonts w:ascii="Arial" w:hAnsi="Arial"/>
          <w:b/>
          <w:color w:val="660066"/>
          <w:sz w:val="28"/>
          <w:lang w:val="en-GB"/>
        </w:rPr>
      </w:pPr>
      <w:r>
        <w:rPr>
          <w:rFonts w:ascii="Arial" w:hAnsi="Arial"/>
          <w:b/>
          <w:noProof/>
          <w:color w:val="660066"/>
          <w:sz w:val="28"/>
        </w:rPr>
        <w:drawing>
          <wp:anchor distT="0" distB="0" distL="114300" distR="114300" simplePos="0" relativeHeight="251660288" behindDoc="0" locked="0" layoutInCell="1" allowOverlap="1">
            <wp:simplePos x="0" y="0"/>
            <wp:positionH relativeFrom="column">
              <wp:posOffset>5067088</wp:posOffset>
            </wp:positionH>
            <wp:positionV relativeFrom="paragraph">
              <wp:posOffset>-261832</wp:posOffset>
            </wp:positionV>
            <wp:extent cx="1608667" cy="1712807"/>
            <wp:effectExtent l="25400" t="0" r="0" b="0"/>
            <wp:wrapNone/>
            <wp:docPr id="2" name="" descr="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A.jpg"/>
                    <pic:cNvPicPr/>
                  </pic:nvPicPr>
                  <pic:blipFill>
                    <a:blip r:embed="rId5"/>
                    <a:srcRect b="14641"/>
                    <a:stretch>
                      <a:fillRect/>
                    </a:stretch>
                  </pic:blipFill>
                  <pic:spPr>
                    <a:xfrm>
                      <a:off x="0" y="0"/>
                      <a:ext cx="1608667" cy="1712807"/>
                    </a:xfrm>
                    <a:prstGeom prst="rect">
                      <a:avLst/>
                    </a:prstGeom>
                  </pic:spPr>
                </pic:pic>
              </a:graphicData>
            </a:graphic>
          </wp:anchor>
        </w:drawing>
      </w:r>
      <w:r w:rsidR="00146E8B" w:rsidRPr="0085772A">
        <w:rPr>
          <w:rFonts w:ascii="Arial" w:hAnsi="Arial"/>
          <w:b/>
          <w:color w:val="660066"/>
          <w:sz w:val="28"/>
          <w:lang w:val="en-GB"/>
        </w:rPr>
        <w:t>Case Study: Elizabeth Garrett Anderson</w:t>
      </w:r>
    </w:p>
    <w:p w:rsidR="00146E8B" w:rsidRDefault="00146E8B" w:rsidP="00146E8B">
      <w:pPr>
        <w:ind w:left="567" w:right="567"/>
        <w:rPr>
          <w:rFonts w:ascii="Arial" w:hAnsi="Arial"/>
          <w:lang w:val="en-GB"/>
        </w:rPr>
      </w:pPr>
    </w:p>
    <w:p w:rsidR="00146E8B" w:rsidRPr="00146E8B" w:rsidRDefault="00146E8B" w:rsidP="00E60A63">
      <w:pPr>
        <w:pBdr>
          <w:top w:val="single" w:sz="4" w:space="1" w:color="auto"/>
          <w:left w:val="single" w:sz="4" w:space="4" w:color="auto"/>
          <w:bottom w:val="single" w:sz="4" w:space="1" w:color="auto"/>
          <w:right w:val="single" w:sz="4" w:space="4" w:color="auto"/>
        </w:pBdr>
        <w:ind w:left="567" w:right="567"/>
        <w:rPr>
          <w:rFonts w:ascii="Arial" w:hAnsi="Arial"/>
          <w:lang w:val="en-GB"/>
        </w:rPr>
      </w:pPr>
      <w:r w:rsidRPr="0012343D">
        <w:rPr>
          <w:rFonts w:ascii="Arial" w:hAnsi="Arial"/>
          <w:b/>
          <w:lang w:val="en-GB"/>
        </w:rPr>
        <w:t>Born:</w:t>
      </w:r>
      <w:r w:rsidRPr="00146E8B">
        <w:rPr>
          <w:rFonts w:ascii="Arial" w:hAnsi="Arial"/>
          <w:lang w:val="en-GB"/>
        </w:rPr>
        <w:t xml:space="preserve"> 1836</w:t>
      </w:r>
      <w:r w:rsidRPr="00146E8B">
        <w:rPr>
          <w:rFonts w:ascii="Arial" w:hAnsi="Arial"/>
          <w:lang w:val="en-GB"/>
        </w:rPr>
        <w:tab/>
      </w:r>
      <w:r w:rsidRPr="0012343D">
        <w:rPr>
          <w:rFonts w:ascii="Arial" w:hAnsi="Arial"/>
          <w:b/>
          <w:lang w:val="en-GB"/>
        </w:rPr>
        <w:t>Died:</w:t>
      </w:r>
      <w:r w:rsidRPr="00146E8B">
        <w:rPr>
          <w:rFonts w:ascii="Arial" w:hAnsi="Arial"/>
          <w:lang w:val="en-GB"/>
        </w:rPr>
        <w:t xml:space="preserve"> 1917</w:t>
      </w:r>
      <w:r w:rsidRPr="00146E8B">
        <w:rPr>
          <w:rFonts w:ascii="Arial" w:hAnsi="Arial"/>
          <w:lang w:val="en-GB"/>
        </w:rPr>
        <w:tab/>
      </w:r>
      <w:r w:rsidRPr="0012343D">
        <w:rPr>
          <w:rFonts w:ascii="Arial" w:hAnsi="Arial"/>
          <w:b/>
          <w:lang w:val="en-GB"/>
        </w:rPr>
        <w:t>Occupation:</w:t>
      </w:r>
      <w:r w:rsidRPr="00146E8B">
        <w:rPr>
          <w:rFonts w:ascii="Arial" w:hAnsi="Arial"/>
          <w:lang w:val="en-GB"/>
        </w:rPr>
        <w:t xml:space="preserve"> doctor</w:t>
      </w:r>
    </w:p>
    <w:p w:rsidR="00146E8B" w:rsidRPr="00146E8B" w:rsidRDefault="00D12C3B" w:rsidP="00E60A63">
      <w:pPr>
        <w:pBdr>
          <w:top w:val="single" w:sz="4" w:space="1" w:color="auto"/>
          <w:left w:val="single" w:sz="4" w:space="4" w:color="auto"/>
          <w:bottom w:val="single" w:sz="4" w:space="1" w:color="auto"/>
          <w:right w:val="single" w:sz="4" w:space="4" w:color="auto"/>
        </w:pBdr>
        <w:ind w:left="567" w:right="567"/>
        <w:rPr>
          <w:rFonts w:ascii="Arial" w:hAnsi="Arial"/>
          <w:lang w:val="en-GB"/>
        </w:rPr>
      </w:pPr>
      <w:r>
        <w:rPr>
          <w:rFonts w:ascii="Arial" w:hAnsi="Arial"/>
          <w:lang w:val="en-GB"/>
        </w:rPr>
        <w:br/>
      </w:r>
      <w:r w:rsidR="00146E8B" w:rsidRPr="0012343D">
        <w:rPr>
          <w:rFonts w:ascii="Arial" w:hAnsi="Arial"/>
          <w:b/>
          <w:lang w:val="en-GB"/>
        </w:rPr>
        <w:t>Claims to fame:</w:t>
      </w:r>
      <w:r w:rsidR="00146E8B" w:rsidRPr="009A3AB6">
        <w:rPr>
          <w:rFonts w:ascii="Arial" w:hAnsi="Arial"/>
          <w:sz w:val="22"/>
          <w:lang w:val="en-GB"/>
        </w:rPr>
        <w:t xml:space="preserve"> first female doctor to qualify in the UK; also town mayor of Aldeburgh – the first female town mayor in England</w:t>
      </w:r>
    </w:p>
    <w:p w:rsidR="00146E8B" w:rsidRPr="00146E8B" w:rsidRDefault="00146E8B" w:rsidP="00146E8B">
      <w:pPr>
        <w:ind w:left="567" w:right="567"/>
        <w:rPr>
          <w:rFonts w:ascii="Arial" w:hAnsi="Arial"/>
          <w:lang w:val="en-GB"/>
        </w:rPr>
      </w:pPr>
    </w:p>
    <w:p w:rsidR="00146E8B" w:rsidRPr="0085772A" w:rsidRDefault="00D81769" w:rsidP="00146E8B">
      <w:pPr>
        <w:ind w:left="567" w:right="567"/>
        <w:rPr>
          <w:rFonts w:ascii="Arial" w:hAnsi="Arial"/>
          <w:b/>
          <w:color w:val="660066"/>
          <w:lang w:val="en-GB"/>
        </w:rPr>
      </w:pPr>
      <w:r>
        <w:rPr>
          <w:rFonts w:ascii="Arial" w:hAnsi="Arial"/>
          <w:b/>
          <w:noProof/>
          <w:color w:val="660066"/>
          <w:sz w:val="28"/>
        </w:rPr>
        <w:pict>
          <v:shapetype id="_x0000_t202" coordsize="21600,21600" o:spt="202" path="m0,0l0,21600,21600,21600,21600,0xe">
            <v:stroke joinstyle="miter"/>
            <v:path gradientshapeok="t" o:connecttype="rect"/>
          </v:shapetype>
          <v:shape id="_x0000_s1033" type="#_x0000_t202" style="position:absolute;left:0;text-align:left;margin-left:398.95pt;margin-top:13.3pt;width:125.75pt;height:18pt;z-index:251661312;mso-wrap-edited:f;mso-position-horizontal:absolute;mso-position-vertical:absolute" wrapcoords="0 0 21600 0 21600 21600 0 21600 0 0" filled="f" stroked="f">
            <v:fill o:detectmouseclick="t"/>
            <v:textbox inset="0,1mm,0,0">
              <w:txbxContent>
                <w:p w:rsidR="00D81769" w:rsidRPr="002E2FC9" w:rsidRDefault="00D81769" w:rsidP="00D81769">
                  <w:pPr>
                    <w:rPr>
                      <w:rFonts w:ascii="Arial" w:hAnsi="Arial"/>
                    </w:rPr>
                  </w:pPr>
                  <w:r w:rsidRPr="002E2FC9">
                    <w:rPr>
                      <w:rFonts w:ascii="Arial" w:hAnsi="Arial" w:cs="Times New Roman"/>
                      <w:sz w:val="12"/>
                      <w:szCs w:val="12"/>
                    </w:rPr>
                    <w:t xml:space="preserve">© </w:t>
                  </w:r>
                  <w:r>
                    <w:rPr>
                      <w:rFonts w:ascii="Arial" w:hAnsi="Arial" w:cs="Times New Roman"/>
                      <w:sz w:val="12"/>
                      <w:szCs w:val="12"/>
                    </w:rPr>
                    <w:t>National Portrait Gallery, London</w:t>
                  </w:r>
                </w:p>
              </w:txbxContent>
            </v:textbox>
            <w10:wrap type="tight"/>
          </v:shape>
        </w:pict>
      </w:r>
      <w:r w:rsidR="00146E8B" w:rsidRPr="0085772A">
        <w:rPr>
          <w:rFonts w:ascii="Arial" w:hAnsi="Arial"/>
          <w:b/>
          <w:color w:val="660066"/>
          <w:lang w:val="en-GB"/>
        </w:rPr>
        <w:t>Becoming a doctor</w:t>
      </w:r>
    </w:p>
    <w:p w:rsidR="00146E8B" w:rsidRPr="009A3AB6" w:rsidRDefault="003147F8" w:rsidP="00146E8B">
      <w:pPr>
        <w:ind w:left="567" w:right="567"/>
        <w:rPr>
          <w:rFonts w:ascii="Arial" w:hAnsi="Arial"/>
          <w:sz w:val="22"/>
          <w:lang w:val="en-GB"/>
        </w:rPr>
      </w:pPr>
      <w:r w:rsidRPr="003147F8">
        <w:rPr>
          <w:rFonts w:ascii="Arial" w:hAnsi="Arial"/>
          <w:noProof/>
        </w:rPr>
        <w:pict>
          <v:shape id="_x0000_s1028" type="#_x0000_t202" style="position:absolute;left:0;text-align:left;margin-left:398.7pt;margin-top:17.7pt;width:126pt;height:180pt;z-index:251658240;mso-wrap-edited:f;mso-position-horizontal:absolute;mso-position-vertical:absolute" wrapcoords="0 0 21600 0 21600 21600 0 21600 0 0" fillcolor="#887a45" stroked="f">
            <v:fill opacity="13107f" o:detectmouseclick="t"/>
            <v:textbox style="mso-next-textbox:#_x0000_s1028" inset=",7.2pt,,7.2pt">
              <w:txbxContent>
                <w:p w:rsidR="00A41CFD" w:rsidRPr="00EB31EA" w:rsidRDefault="00A41CFD" w:rsidP="00A41CFD">
                  <w:pPr>
                    <w:rPr>
                      <w:rFonts w:ascii="Arial" w:hAnsi="Arial"/>
                      <w:b/>
                      <w:color w:val="660066"/>
                    </w:rPr>
                  </w:pPr>
                  <w:r w:rsidRPr="00EB31EA">
                    <w:rPr>
                      <w:rFonts w:ascii="Arial" w:hAnsi="Arial"/>
                      <w:b/>
                      <w:color w:val="660066"/>
                    </w:rPr>
                    <w:t>Glossary</w:t>
                  </w:r>
                </w:p>
                <w:p w:rsidR="00D12C3B" w:rsidRPr="00D12C3B" w:rsidRDefault="00D12C3B" w:rsidP="00D12C3B">
                  <w:pPr>
                    <w:rPr>
                      <w:rFonts w:ascii="Arial" w:hAnsi="Arial"/>
                      <w:sz w:val="22"/>
                    </w:rPr>
                  </w:pPr>
                  <w:r w:rsidRPr="00A41CFD">
                    <w:rPr>
                      <w:rFonts w:ascii="Arial" w:hAnsi="Arial"/>
                      <w:b/>
                      <w:sz w:val="22"/>
                    </w:rPr>
                    <w:t>Society of Apothecaries</w:t>
                  </w:r>
                  <w:r w:rsidRPr="00D12C3B">
                    <w:rPr>
                      <w:rFonts w:ascii="Arial" w:hAnsi="Arial"/>
                      <w:i/>
                      <w:sz w:val="22"/>
                    </w:rPr>
                    <w:t xml:space="preserve"> –</w:t>
                  </w:r>
                  <w:r w:rsidRPr="00D12C3B">
                    <w:rPr>
                      <w:rFonts w:ascii="Arial" w:hAnsi="Arial"/>
                      <w:sz w:val="22"/>
                    </w:rPr>
                    <w:t xml:space="preserve"> as a doctor, you had to belong to a society that represented your profession and issued your licence</w:t>
                  </w:r>
                </w:p>
                <w:p w:rsidR="00D12C3B" w:rsidRPr="00D12C3B" w:rsidRDefault="00D12C3B">
                  <w:pPr>
                    <w:rPr>
                      <w:rFonts w:ascii="Arial" w:hAnsi="Arial"/>
                      <w:sz w:val="22"/>
                    </w:rPr>
                  </w:pPr>
                  <w:r w:rsidRPr="00A41CFD">
                    <w:rPr>
                      <w:rFonts w:ascii="Arial" w:hAnsi="Arial"/>
                      <w:b/>
                      <w:sz w:val="22"/>
                      <w:lang w:val="en-GB"/>
                    </w:rPr>
                    <w:t>Kensington Society</w:t>
                  </w:r>
                  <w:r w:rsidRPr="00D12C3B">
                    <w:rPr>
                      <w:rFonts w:ascii="Arial" w:hAnsi="Arial"/>
                      <w:i/>
                      <w:sz w:val="22"/>
                      <w:lang w:val="en-GB"/>
                    </w:rPr>
                    <w:t xml:space="preserve"> –</w:t>
                  </w:r>
                  <w:r w:rsidRPr="00D12C3B">
                    <w:rPr>
                      <w:rFonts w:ascii="Arial" w:hAnsi="Arial"/>
                      <w:sz w:val="22"/>
                      <w:lang w:val="en-GB"/>
                    </w:rPr>
                    <w:t xml:space="preserve"> women’s discussion group that organised the first petition on women’s suffrage</w:t>
                  </w:r>
                </w:p>
              </w:txbxContent>
            </v:textbox>
            <w10:wrap type="tight"/>
          </v:shape>
        </w:pict>
      </w:r>
      <w:r w:rsidRPr="003147F8">
        <w:rPr>
          <w:rFonts w:ascii="Arial" w:hAnsi="Arial"/>
          <w:noProof/>
        </w:rPr>
        <w:pict>
          <v:shape id="_x0000_s1029" type="#_x0000_t202" style="position:absolute;left:0;text-align:left;margin-left:398.7pt;margin-top:215.55pt;width:126pt;height:144.15pt;z-index:251659264;mso-wrap-edited:f;mso-position-horizontal:absolute;mso-position-vertical:absolute" wrapcoords="0 0 21600 0 21600 21600 0 21600 0 0" fillcolor="#887a45" stroked="f">
            <v:fill o:detectmouseclick="t"/>
            <v:textbox style="mso-next-textbox:#_x0000_s1029" inset=",7.2pt,,7.2pt">
              <w:txbxContent>
                <w:p w:rsidR="00D12C3B" w:rsidRPr="003019ED" w:rsidRDefault="00D12C3B" w:rsidP="00D12C3B">
                  <w:pPr>
                    <w:rPr>
                      <w:rFonts w:ascii="Arial" w:hAnsi="Arial"/>
                      <w:b/>
                      <w:color w:val="FFFFFF" w:themeColor="background1"/>
                    </w:rPr>
                  </w:pPr>
                  <w:r w:rsidRPr="003019ED">
                    <w:rPr>
                      <w:rFonts w:ascii="Arial" w:hAnsi="Arial"/>
                      <w:b/>
                      <w:color w:val="FFFFFF" w:themeColor="background1"/>
                    </w:rPr>
                    <w:t>Questions</w:t>
                  </w:r>
                </w:p>
                <w:p w:rsidR="00D12C3B" w:rsidRPr="00D12C3B" w:rsidRDefault="00D12C3B" w:rsidP="00D12C3B">
                  <w:pPr>
                    <w:pStyle w:val="ListParagraph"/>
                    <w:numPr>
                      <w:ilvl w:val="0"/>
                      <w:numId w:val="1"/>
                    </w:numPr>
                    <w:ind w:left="284"/>
                    <w:rPr>
                      <w:rFonts w:ascii="Arial" w:hAnsi="Arial"/>
                      <w:color w:val="FFFFFF" w:themeColor="background1"/>
                      <w:sz w:val="22"/>
                    </w:rPr>
                  </w:pPr>
                  <w:r w:rsidRPr="00D12C3B">
                    <w:rPr>
                      <w:rFonts w:ascii="Arial" w:hAnsi="Arial"/>
                      <w:color w:val="FFFFFF" w:themeColor="background1"/>
                      <w:sz w:val="22"/>
                    </w:rPr>
                    <w:t>What kind of person do you think Elizabeth was?</w:t>
                  </w:r>
                </w:p>
                <w:p w:rsidR="00D12C3B" w:rsidRPr="00D12C3B" w:rsidRDefault="00D12C3B" w:rsidP="00D12C3B">
                  <w:pPr>
                    <w:pStyle w:val="ListParagraph"/>
                    <w:numPr>
                      <w:ilvl w:val="0"/>
                      <w:numId w:val="1"/>
                    </w:numPr>
                    <w:ind w:left="284"/>
                    <w:rPr>
                      <w:rFonts w:ascii="Arial" w:hAnsi="Arial"/>
                      <w:color w:val="FFFFFF" w:themeColor="background1"/>
                      <w:sz w:val="22"/>
                    </w:rPr>
                  </w:pPr>
                  <w:r w:rsidRPr="00D12C3B">
                    <w:rPr>
                      <w:rFonts w:ascii="Arial" w:hAnsi="Arial"/>
                      <w:color w:val="FFFFFF" w:themeColor="background1"/>
                      <w:sz w:val="22"/>
                    </w:rPr>
                    <w:t>What do you find most interesting about her story?</w:t>
                  </w:r>
                </w:p>
                <w:p w:rsidR="00D12C3B" w:rsidRPr="00D12C3B" w:rsidRDefault="00D12C3B" w:rsidP="00D12C3B">
                  <w:pPr>
                    <w:pStyle w:val="ListParagraph"/>
                    <w:numPr>
                      <w:ilvl w:val="0"/>
                      <w:numId w:val="1"/>
                    </w:numPr>
                    <w:ind w:left="284"/>
                    <w:rPr>
                      <w:rFonts w:ascii="Arial" w:hAnsi="Arial"/>
                      <w:color w:val="FFFFFF" w:themeColor="background1"/>
                      <w:sz w:val="22"/>
                    </w:rPr>
                  </w:pPr>
                  <w:r w:rsidRPr="00D12C3B">
                    <w:rPr>
                      <w:rFonts w:ascii="Arial" w:hAnsi="Arial"/>
                      <w:color w:val="FFFFFF" w:themeColor="background1"/>
                      <w:sz w:val="22"/>
                    </w:rPr>
                    <w:t>How typical do you think she was of suffragists?</w:t>
                  </w:r>
                </w:p>
                <w:p w:rsidR="00D12C3B" w:rsidRPr="00D12C3B" w:rsidRDefault="00D12C3B">
                  <w:pPr>
                    <w:rPr>
                      <w:rFonts w:ascii="Arial" w:hAnsi="Arial"/>
                      <w:color w:val="FFFFFF" w:themeColor="background1"/>
                      <w:sz w:val="22"/>
                    </w:rPr>
                  </w:pPr>
                </w:p>
              </w:txbxContent>
            </v:textbox>
            <w10:wrap type="tight"/>
          </v:shape>
        </w:pict>
      </w:r>
      <w:r w:rsidR="00146E8B" w:rsidRPr="009A3AB6">
        <w:rPr>
          <w:rFonts w:ascii="Arial" w:hAnsi="Arial"/>
          <w:sz w:val="22"/>
          <w:lang w:val="en-GB"/>
        </w:rPr>
        <w:t xml:space="preserve">Elizabeth Garrett was born in London and later lived in Suffolk. She had several siblings, one of whom was Millicent Garrett (later Millicent Garrett Fawcett), who was the president of the National Union Of Women’s Suffrage Societies (NUWSS). Elizabeth married James George Skelton Anderson in 1871 and had three children. She studied chemistry and nursing, and applied to several medical schools, all of which refused to take her. She used a legal loophole and got a doctor’s licence from the </w:t>
      </w:r>
      <w:r w:rsidR="00146E8B" w:rsidRPr="0085772A">
        <w:rPr>
          <w:rFonts w:ascii="Arial" w:hAnsi="Arial"/>
          <w:i/>
          <w:sz w:val="22"/>
          <w:lang w:val="en-GB"/>
        </w:rPr>
        <w:t>Society of Apothecaries</w:t>
      </w:r>
      <w:r w:rsidR="00146E8B" w:rsidRPr="009A3AB6">
        <w:rPr>
          <w:rFonts w:ascii="Arial" w:hAnsi="Arial"/>
          <w:sz w:val="22"/>
          <w:lang w:val="en-GB"/>
        </w:rPr>
        <w:t xml:space="preserve"> in 1865, then qualified as a doctor from the University of Sorbonne in France in 1870. The Medical Act of 1876 finally allowed British universities to accept women on medical degrees. Elizabeth opened the St Mary's Dispensary for Women and Children to treat the poor; this became the New Hospital for Women.</w:t>
      </w:r>
    </w:p>
    <w:p w:rsidR="00146E8B" w:rsidRPr="00146E8B" w:rsidRDefault="00146E8B" w:rsidP="00146E8B">
      <w:pPr>
        <w:ind w:left="567" w:right="567"/>
        <w:rPr>
          <w:rFonts w:ascii="Arial" w:hAnsi="Arial"/>
          <w:lang w:val="en-GB"/>
        </w:rPr>
      </w:pPr>
    </w:p>
    <w:p w:rsidR="00146E8B" w:rsidRPr="0085772A" w:rsidRDefault="00146E8B" w:rsidP="00146E8B">
      <w:pPr>
        <w:ind w:left="567" w:right="567"/>
        <w:rPr>
          <w:rFonts w:ascii="Arial" w:hAnsi="Arial"/>
          <w:b/>
          <w:color w:val="660066"/>
          <w:lang w:val="en-GB"/>
        </w:rPr>
      </w:pPr>
      <w:r w:rsidRPr="0085772A">
        <w:rPr>
          <w:rFonts w:ascii="Arial" w:hAnsi="Arial"/>
          <w:b/>
          <w:color w:val="660066"/>
          <w:lang w:val="en-GB"/>
        </w:rPr>
        <w:t>Campaigning for the vote</w:t>
      </w:r>
    </w:p>
    <w:p w:rsidR="00146E8B" w:rsidRPr="009A3AB6" w:rsidRDefault="00146E8B" w:rsidP="00146E8B">
      <w:pPr>
        <w:ind w:left="567" w:right="567"/>
        <w:rPr>
          <w:rFonts w:ascii="Arial" w:hAnsi="Arial"/>
          <w:sz w:val="22"/>
          <w:lang w:val="en-GB"/>
        </w:rPr>
      </w:pPr>
      <w:r w:rsidRPr="009A3AB6">
        <w:rPr>
          <w:rFonts w:ascii="Arial" w:hAnsi="Arial"/>
          <w:sz w:val="22"/>
          <w:lang w:val="en-GB"/>
        </w:rPr>
        <w:t xml:space="preserve">At the age of 18, Elizabeth met the campaigner Emily Davies. She was a founding member of the </w:t>
      </w:r>
      <w:r w:rsidRPr="0085772A">
        <w:rPr>
          <w:rFonts w:ascii="Arial" w:hAnsi="Arial"/>
          <w:i/>
          <w:sz w:val="22"/>
          <w:lang w:val="en-GB"/>
        </w:rPr>
        <w:t>Kensington Society</w:t>
      </w:r>
      <w:r w:rsidRPr="009A3AB6">
        <w:rPr>
          <w:rFonts w:ascii="Arial" w:hAnsi="Arial"/>
          <w:sz w:val="22"/>
          <w:lang w:val="en-GB"/>
        </w:rPr>
        <w:t xml:space="preserve"> in 1865. Both Emily and Elizabeth signed the 1866 suffrage petition, which they presented to MP John Stuart Mill at Westminster. In June 1874, she led a large suffrage meeting. She was a member of the Central Committee of the National Society for Women’s Suffrage and also belonged to the London Society for Women’s Suffrage from 1906 to 1907. In 1908, Elizabeth moved to the WSPU and took part in a ‘raid’ on the House of Commons. She took part in the WSPU’s ‘From Prison to Citizenship’ march in London on 18 June 1910 and headed a large, peaceful representation by the WSPU to the Houses of Parliament on 18 November 1910, ending in the violence of ‘Black Friday’. Elizabeth publicly withdrew her support for WSPU militancy after their subsequent escalation of tactics, and withdrew from public life completely in 1913.</w:t>
      </w:r>
    </w:p>
    <w:p w:rsidR="00146E8B" w:rsidRPr="00146E8B" w:rsidRDefault="00146E8B" w:rsidP="00146E8B">
      <w:pPr>
        <w:ind w:left="567" w:right="567"/>
        <w:rPr>
          <w:rFonts w:ascii="Arial" w:hAnsi="Arial"/>
          <w:lang w:val="en-GB"/>
        </w:rPr>
      </w:pPr>
    </w:p>
    <w:p w:rsidR="00146E8B" w:rsidRPr="0085772A" w:rsidRDefault="00146E8B" w:rsidP="00146E8B">
      <w:pPr>
        <w:ind w:left="567" w:right="567"/>
        <w:rPr>
          <w:rFonts w:ascii="Arial" w:hAnsi="Arial"/>
          <w:b/>
          <w:color w:val="660066"/>
          <w:lang w:val="en-GB"/>
        </w:rPr>
      </w:pPr>
      <w:r w:rsidRPr="0085772A">
        <w:rPr>
          <w:rFonts w:ascii="Arial" w:hAnsi="Arial"/>
          <w:b/>
          <w:color w:val="660066"/>
          <w:lang w:val="en-GB"/>
        </w:rPr>
        <w:t>Useful links/resources:</w:t>
      </w:r>
    </w:p>
    <w:p w:rsidR="00146E8B" w:rsidRPr="009A3AB6" w:rsidRDefault="0085772A" w:rsidP="00146E8B">
      <w:pPr>
        <w:ind w:left="567" w:right="567"/>
        <w:rPr>
          <w:rFonts w:ascii="Arial" w:hAnsi="Arial"/>
          <w:sz w:val="22"/>
          <w:lang w:val="en-GB"/>
        </w:rPr>
      </w:pPr>
      <w:r>
        <w:rPr>
          <w:rFonts w:ascii="Arial" w:hAnsi="Arial"/>
          <w:sz w:val="22"/>
          <w:lang w:val="en-GB"/>
        </w:rPr>
        <w:t>•</w:t>
      </w:r>
      <w:r>
        <w:rPr>
          <w:rFonts w:ascii="Arial" w:hAnsi="Arial"/>
          <w:sz w:val="22"/>
          <w:lang w:val="en-GB"/>
        </w:rPr>
        <w:tab/>
      </w:r>
      <w:r w:rsidR="00146E8B" w:rsidRPr="009A3AB6">
        <w:rPr>
          <w:rFonts w:ascii="Arial" w:hAnsi="Arial"/>
          <w:sz w:val="22"/>
          <w:lang w:val="en-GB"/>
        </w:rPr>
        <w:t xml:space="preserve">Elizabeth Crawford, </w:t>
      </w:r>
      <w:r w:rsidR="00146E8B" w:rsidRPr="00D56C55">
        <w:rPr>
          <w:rFonts w:ascii="Arial" w:hAnsi="Arial"/>
          <w:i/>
          <w:sz w:val="22"/>
          <w:lang w:val="en-GB"/>
        </w:rPr>
        <w:t xml:space="preserve">The Women’s Suffrage Movement: a reference </w:t>
      </w:r>
      <w:r w:rsidRPr="00D56C55">
        <w:rPr>
          <w:rFonts w:ascii="Arial" w:hAnsi="Arial"/>
          <w:i/>
          <w:sz w:val="22"/>
          <w:lang w:val="en-GB"/>
        </w:rPr>
        <w:tab/>
      </w:r>
      <w:r w:rsidR="00146E8B" w:rsidRPr="00D56C55">
        <w:rPr>
          <w:rFonts w:ascii="Arial" w:hAnsi="Arial"/>
          <w:i/>
          <w:sz w:val="22"/>
          <w:lang w:val="en-GB"/>
        </w:rPr>
        <w:t xml:space="preserve">guide, 1866–1928 </w:t>
      </w:r>
      <w:r w:rsidR="00146E8B" w:rsidRPr="009A3AB6">
        <w:rPr>
          <w:rFonts w:ascii="Arial" w:hAnsi="Arial"/>
          <w:sz w:val="22"/>
          <w:lang w:val="en-GB"/>
        </w:rPr>
        <w:t>(Routledge, 1999)</w:t>
      </w:r>
    </w:p>
    <w:p w:rsidR="00146E8B" w:rsidRPr="009A3AB6" w:rsidRDefault="0085772A" w:rsidP="00146E8B">
      <w:pPr>
        <w:ind w:left="567" w:right="567"/>
        <w:rPr>
          <w:rFonts w:ascii="Arial" w:hAnsi="Arial"/>
          <w:sz w:val="22"/>
          <w:lang w:val="en-GB"/>
        </w:rPr>
      </w:pPr>
      <w:r>
        <w:rPr>
          <w:rFonts w:ascii="Arial" w:hAnsi="Arial"/>
          <w:sz w:val="22"/>
          <w:lang w:val="en-GB"/>
        </w:rPr>
        <w:t>•</w:t>
      </w:r>
      <w:r>
        <w:rPr>
          <w:rFonts w:ascii="Arial" w:hAnsi="Arial"/>
          <w:sz w:val="22"/>
          <w:lang w:val="en-GB"/>
        </w:rPr>
        <w:tab/>
      </w:r>
      <w:r w:rsidR="00146E8B" w:rsidRPr="009A3AB6">
        <w:rPr>
          <w:rFonts w:ascii="Arial" w:hAnsi="Arial"/>
          <w:sz w:val="22"/>
          <w:lang w:val="en-GB"/>
        </w:rPr>
        <w:t>British Newspaper Archive – Votes for Women</w:t>
      </w:r>
    </w:p>
    <w:p w:rsidR="009A3AB6" w:rsidRPr="009A3AB6" w:rsidRDefault="0085772A" w:rsidP="009A3AB6">
      <w:pPr>
        <w:ind w:left="567" w:right="567"/>
        <w:rPr>
          <w:rFonts w:ascii="Arial" w:hAnsi="Arial"/>
          <w:sz w:val="22"/>
          <w:lang w:val="en-GB"/>
        </w:rPr>
      </w:pPr>
      <w:r>
        <w:rPr>
          <w:rFonts w:ascii="Arial" w:hAnsi="Arial"/>
          <w:sz w:val="22"/>
          <w:lang w:val="en-GB"/>
        </w:rPr>
        <w:t>•</w:t>
      </w:r>
      <w:r>
        <w:rPr>
          <w:rFonts w:ascii="Arial" w:hAnsi="Arial"/>
          <w:sz w:val="22"/>
          <w:lang w:val="en-GB"/>
        </w:rPr>
        <w:tab/>
      </w:r>
      <w:r w:rsidR="00146E8B" w:rsidRPr="009A3AB6">
        <w:rPr>
          <w:rFonts w:ascii="Arial" w:hAnsi="Arial"/>
          <w:sz w:val="22"/>
          <w:lang w:val="en-GB"/>
        </w:rPr>
        <w:t xml:space="preserve">Oxford Dictionary National Biography – </w:t>
      </w:r>
      <w:r>
        <w:rPr>
          <w:rFonts w:ascii="Arial" w:hAnsi="Arial"/>
          <w:sz w:val="22"/>
          <w:lang w:val="en-GB"/>
        </w:rPr>
        <w:tab/>
      </w:r>
      <w:hyperlink r:id="rId6" w:history="1">
        <w:r w:rsidRPr="00B90D9F">
          <w:rPr>
            <w:rStyle w:val="Hyperlink"/>
            <w:rFonts w:ascii="Arial" w:hAnsi="Arial"/>
            <w:sz w:val="22"/>
            <w:lang w:val="en-GB"/>
          </w:rPr>
          <w:t>http://www.oxforddnb.com/view/10.1093/ref:odnb/9780198614128.0</w:t>
        </w:r>
      </w:hyperlink>
      <w:r>
        <w:rPr>
          <w:rFonts w:ascii="Arial" w:hAnsi="Arial"/>
          <w:sz w:val="22"/>
          <w:lang w:val="en-GB"/>
        </w:rPr>
        <w:tab/>
      </w:r>
      <w:r w:rsidR="00146E8B" w:rsidRPr="009A3AB6">
        <w:rPr>
          <w:rFonts w:ascii="Arial" w:hAnsi="Arial"/>
          <w:sz w:val="22"/>
          <w:lang w:val="en-GB"/>
        </w:rPr>
        <w:t>01.0001/odnb-9780198614128-e-30406</w:t>
      </w:r>
    </w:p>
    <w:p w:rsidR="009A3AB6" w:rsidRPr="009A3AB6" w:rsidRDefault="009A3AB6" w:rsidP="00146E8B">
      <w:pPr>
        <w:ind w:left="567" w:right="567"/>
        <w:rPr>
          <w:rFonts w:ascii="Arial" w:hAnsi="Arial"/>
          <w:sz w:val="22"/>
          <w:lang w:val="en-GB"/>
        </w:rPr>
      </w:pPr>
    </w:p>
    <w:sectPr w:rsidR="009A3AB6" w:rsidRPr="009A3AB6" w:rsidSect="009A3AB6">
      <w:headerReference w:type="even" r:id="rId7"/>
      <w:headerReference w:type="default" r:id="rId8"/>
      <w:footerReference w:type="even" r:id="rId9"/>
      <w:footerReference w:type="default" r:id="rId10"/>
      <w:headerReference w:type="first" r:id="rId11"/>
      <w:footerReference w:type="first" r:id="rId12"/>
      <w:type w:val="continuous"/>
      <w:pgSz w:w="11900" w:h="16840"/>
      <w:pgMar w:top="3119" w:right="3402" w:bottom="1134" w:left="567" w:header="709" w:footer="709" w:gutter="0"/>
      <w:printerSettings r:id="rId1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503020203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A3AB6" w:rsidRDefault="009A3AB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A3AB6" w:rsidRPr="00E70F7C" w:rsidRDefault="009A3AB6" w:rsidP="00E70F7C">
    <w:pPr>
      <w:pStyle w:val="Footer"/>
    </w:pPr>
    <w:r>
      <w:rPr>
        <w:noProof/>
      </w:rPr>
      <w:drawing>
        <wp:anchor distT="0" distB="0" distL="114300" distR="114300" simplePos="0" relativeHeight="251659264" behindDoc="1" locked="0" layoutInCell="1" allowOverlap="1">
          <wp:simplePos x="0" y="0"/>
          <wp:positionH relativeFrom="page">
            <wp:posOffset>-64770</wp:posOffset>
          </wp:positionH>
          <wp:positionV relativeFrom="paragraph">
            <wp:posOffset>288290</wp:posOffset>
          </wp:positionV>
          <wp:extent cx="9144000" cy="355600"/>
          <wp:effectExtent l="25400" t="0" r="0" b="0"/>
          <wp:wrapNone/>
          <wp:docPr id="1" name="" descr="HA PPT graphics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 PPT graphics_bottom.jpg"/>
                  <pic:cNvPicPr/>
                </pic:nvPicPr>
                <pic:blipFill>
                  <a:blip r:embed="rId1"/>
                  <a:stretch>
                    <a:fillRect/>
                  </a:stretch>
                </pic:blipFill>
                <pic:spPr>
                  <a:xfrm>
                    <a:off x="0" y="0"/>
                    <a:ext cx="9144000" cy="355600"/>
                  </a:xfrm>
                  <a:prstGeom prst="rect">
                    <a:avLst/>
                  </a:prstGeom>
                </pic:spPr>
              </pic:pic>
            </a:graphicData>
          </a:graphic>
        </wp:anchor>
      </w:drawing>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A3AB6" w:rsidRDefault="009A3AB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A3AB6" w:rsidRDefault="009A3AB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A3AB6" w:rsidRDefault="006D70DA">
    <w:pPr>
      <w:pStyle w:val="Heade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2215" cy="1786467"/>
          <wp:effectExtent l="25400" t="0" r="6985" b="0"/>
          <wp:wrapNone/>
          <wp:docPr id="4" name="" descr=" HA Suffrage Resources Pt II 1118_CS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A Suffrage Resources Pt II 1118_CS Top.jpg"/>
                  <pic:cNvPicPr/>
                </pic:nvPicPr>
                <pic:blipFill>
                  <a:blip r:embed="rId1"/>
                  <a:stretch>
                    <a:fillRect/>
                  </a:stretch>
                </pic:blipFill>
                <pic:spPr>
                  <a:xfrm>
                    <a:off x="0" y="0"/>
                    <a:ext cx="7562215" cy="1786467"/>
                  </a:xfrm>
                  <a:prstGeom prst="rect">
                    <a:avLst/>
                  </a:prstGeom>
                </pic:spPr>
              </pic:pic>
            </a:graphicData>
          </a:graphic>
        </wp:anchor>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A3AB6" w:rsidRDefault="009A3AB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48F0628"/>
    <w:multiLevelType w:val="hybridMultilevel"/>
    <w:tmpl w:val="CAF80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887a45"/>
      <o:colormenu v:ext="edit" fillcolor="none [2894]"/>
    </o:shapedefaults>
  </w:hdrShapeDefaults>
  <w:compat>
    <w:doNotAutofitConstrainedTables/>
    <w:doNotVertAlignCellWithSp/>
    <w:doNotBreakConstrainedForcedTable/>
    <w:useAnsiKerningPairs/>
    <w:cachedColBalance/>
    <w:splitPgBreakAndParaMark/>
  </w:compat>
  <w:rsids>
    <w:rsidRoot w:val="00470580"/>
    <w:rsid w:val="00093738"/>
    <w:rsid w:val="0012343D"/>
    <w:rsid w:val="00146E8B"/>
    <w:rsid w:val="00176755"/>
    <w:rsid w:val="003019ED"/>
    <w:rsid w:val="003147F8"/>
    <w:rsid w:val="00352396"/>
    <w:rsid w:val="00433647"/>
    <w:rsid w:val="00470580"/>
    <w:rsid w:val="00491599"/>
    <w:rsid w:val="004A507A"/>
    <w:rsid w:val="005F707E"/>
    <w:rsid w:val="006D70DA"/>
    <w:rsid w:val="007E5D2A"/>
    <w:rsid w:val="007F0731"/>
    <w:rsid w:val="0085772A"/>
    <w:rsid w:val="008966AF"/>
    <w:rsid w:val="009A3AB6"/>
    <w:rsid w:val="00A41CFD"/>
    <w:rsid w:val="00A5563B"/>
    <w:rsid w:val="00BD07D7"/>
    <w:rsid w:val="00D12C3B"/>
    <w:rsid w:val="00D56C55"/>
    <w:rsid w:val="00D81769"/>
    <w:rsid w:val="00DC0C7B"/>
    <w:rsid w:val="00DD29FA"/>
    <w:rsid w:val="00E60A63"/>
    <w:rsid w:val="00E70F7C"/>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87a45"/>
      <o:colormenu v:ext="edit" fillcolor="none [289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D12C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261E6"/>
    <w:rPr>
      <w:rFonts w:ascii="Lucida Grande" w:hAnsi="Lucida Grande"/>
      <w:sz w:val="18"/>
      <w:szCs w:val="18"/>
    </w:rPr>
  </w:style>
  <w:style w:type="paragraph" w:styleId="Header">
    <w:name w:val="header"/>
    <w:basedOn w:val="Normal"/>
    <w:link w:val="HeaderChar"/>
    <w:uiPriority w:val="99"/>
    <w:semiHidden/>
    <w:unhideWhenUsed/>
    <w:rsid w:val="00470580"/>
    <w:pPr>
      <w:tabs>
        <w:tab w:val="center" w:pos="4320"/>
        <w:tab w:val="right" w:pos="8640"/>
      </w:tabs>
    </w:pPr>
  </w:style>
  <w:style w:type="character" w:customStyle="1" w:styleId="HeaderChar">
    <w:name w:val="Header Char"/>
    <w:basedOn w:val="DefaultParagraphFont"/>
    <w:link w:val="Header"/>
    <w:uiPriority w:val="99"/>
    <w:semiHidden/>
    <w:rsid w:val="00470580"/>
    <w:rPr>
      <w:sz w:val="24"/>
      <w:szCs w:val="24"/>
    </w:rPr>
  </w:style>
  <w:style w:type="paragraph" w:styleId="Footer">
    <w:name w:val="footer"/>
    <w:basedOn w:val="Normal"/>
    <w:link w:val="FooterChar"/>
    <w:uiPriority w:val="99"/>
    <w:semiHidden/>
    <w:unhideWhenUsed/>
    <w:rsid w:val="00470580"/>
    <w:pPr>
      <w:tabs>
        <w:tab w:val="center" w:pos="4320"/>
        <w:tab w:val="right" w:pos="8640"/>
      </w:tabs>
    </w:pPr>
  </w:style>
  <w:style w:type="character" w:customStyle="1" w:styleId="FooterChar">
    <w:name w:val="Footer Char"/>
    <w:basedOn w:val="DefaultParagraphFont"/>
    <w:link w:val="Footer"/>
    <w:uiPriority w:val="99"/>
    <w:semiHidden/>
    <w:rsid w:val="00470580"/>
    <w:rPr>
      <w:sz w:val="24"/>
      <w:szCs w:val="24"/>
    </w:rPr>
  </w:style>
  <w:style w:type="paragraph" w:styleId="ListParagraph">
    <w:name w:val="List Paragraph"/>
    <w:basedOn w:val="Normal"/>
    <w:uiPriority w:val="34"/>
    <w:qFormat/>
    <w:rsid w:val="00146E8B"/>
    <w:pPr>
      <w:ind w:left="720"/>
      <w:contextualSpacing/>
    </w:pPr>
  </w:style>
  <w:style w:type="character" w:styleId="Hyperlink">
    <w:name w:val="Hyperlink"/>
    <w:basedOn w:val="DefaultParagraphFont"/>
    <w:rsid w:val="00857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oxforddnb.com/view/10.1093/ref:odnb/9780198614128.0"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348</Words>
  <Characters>1987</Characters>
  <Application>Microsoft Word 12.1.0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Manager/>
  <Company>LLD</Company>
  <LinksUpToDate>false</LinksUpToDate>
  <CharactersWithSpaces>2440</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Association</dc:creator>
  <cp:keywords/>
  <dc:description/>
  <cp:lastModifiedBy>0 0</cp:lastModifiedBy>
  <cp:revision>14</cp:revision>
  <dcterms:created xsi:type="dcterms:W3CDTF">2018-11-12T10:22:00Z</dcterms:created>
  <dcterms:modified xsi:type="dcterms:W3CDTF">2018-11-13T17:41:00Z</dcterms:modified>
  <cp:category/>
</cp:coreProperties>
</file>